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097650" w14:textId="4565FF75" w:rsidR="0000665C" w:rsidRPr="00F43854" w:rsidRDefault="0000665C">
      <w:pPr>
        <w:rPr>
          <w:b/>
          <w:bCs/>
          <w:lang w:val="en-US"/>
        </w:rPr>
      </w:pPr>
      <w:r w:rsidRPr="00F43854">
        <w:rPr>
          <w:b/>
          <w:bCs/>
          <w:lang w:val="en-US"/>
        </w:rPr>
        <w:t>Fall 2019/Spring 2020</w:t>
      </w:r>
      <w:r w:rsidR="00F43854">
        <w:rPr>
          <w:b/>
          <w:bCs/>
          <w:lang w:val="en-US"/>
        </w:rPr>
        <w:t>/Fall 2020</w:t>
      </w:r>
    </w:p>
    <w:p w14:paraId="57966B31" w14:textId="77777777" w:rsidR="0000665C" w:rsidRPr="0000665C" w:rsidRDefault="0000665C" w:rsidP="0000665C">
      <w:pPr>
        <w:rPr>
          <w:lang w:val="en-US"/>
        </w:rPr>
      </w:pPr>
      <w:r w:rsidRPr="0000665C">
        <w:rPr>
          <w:lang w:val="en-US"/>
        </w:rPr>
        <w:t>Dearie, J. P., editor, “2018 Excess and Surplus Lines Laws in the</w:t>
      </w:r>
    </w:p>
    <w:p w14:paraId="409B1343" w14:textId="77777777" w:rsidR="0000665C" w:rsidRPr="0000665C" w:rsidRDefault="0000665C" w:rsidP="0000665C">
      <w:pPr>
        <w:rPr>
          <w:lang w:val="en-US"/>
        </w:rPr>
      </w:pPr>
      <w:r w:rsidRPr="0000665C">
        <w:rPr>
          <w:lang w:val="en-US"/>
        </w:rPr>
        <w:t>United States,” Locke Lord LLP, pp. ii-iv (stop at Calculation of</w:t>
      </w:r>
    </w:p>
    <w:p w14:paraId="10E24228" w14:textId="183ED0BA" w:rsidR="0000665C" w:rsidRDefault="0000665C" w:rsidP="0000665C">
      <w:pPr>
        <w:rPr>
          <w:lang w:val="en-US"/>
        </w:rPr>
      </w:pPr>
      <w:r w:rsidRPr="0000665C">
        <w:rPr>
          <w:lang w:val="en-US"/>
        </w:rPr>
        <w:t>Surplus Lines Taxes Under NRRA)</w:t>
      </w:r>
    </w:p>
    <w:p w14:paraId="7CF02149" w14:textId="77777777" w:rsidR="0000665C" w:rsidRDefault="0000665C" w:rsidP="0000665C">
      <w:pPr>
        <w:rPr>
          <w:lang w:val="en-US"/>
        </w:rPr>
      </w:pPr>
    </w:p>
    <w:p w14:paraId="523626B4" w14:textId="77777777" w:rsidR="0000665C" w:rsidRPr="0000665C" w:rsidRDefault="0000665C" w:rsidP="0000665C">
      <w:pPr>
        <w:rPr>
          <w:lang w:val="en-US"/>
        </w:rPr>
      </w:pPr>
      <w:r w:rsidRPr="0000665C">
        <w:rPr>
          <w:lang w:val="en-US"/>
        </w:rPr>
        <w:t>Horn, D. and Webel, B., “Private Flood Insurance and the National</w:t>
      </w:r>
    </w:p>
    <w:p w14:paraId="0277B829" w14:textId="77777777" w:rsidR="0000665C" w:rsidRPr="0000665C" w:rsidRDefault="0000665C" w:rsidP="0000665C">
      <w:pPr>
        <w:rPr>
          <w:lang w:val="en-US"/>
        </w:rPr>
      </w:pPr>
      <w:r w:rsidRPr="0000665C">
        <w:rPr>
          <w:lang w:val="en-US"/>
        </w:rPr>
        <w:t>Flood Insurance Program” July 31, 2018, Congressional Research</w:t>
      </w:r>
    </w:p>
    <w:p w14:paraId="18CFA5E7" w14:textId="45E0BE88" w:rsidR="0000665C" w:rsidRDefault="0000665C" w:rsidP="0000665C">
      <w:pPr>
        <w:rPr>
          <w:lang w:val="en-US"/>
        </w:rPr>
      </w:pPr>
      <w:r w:rsidRPr="0000665C">
        <w:rPr>
          <w:lang w:val="en-US"/>
        </w:rPr>
        <w:t>Service R45242, pp. 1-19.</w:t>
      </w:r>
    </w:p>
    <w:p w14:paraId="4E769893" w14:textId="77777777" w:rsidR="00F43854" w:rsidRDefault="00F43854" w:rsidP="0000665C">
      <w:pPr>
        <w:rPr>
          <w:lang w:val="en-US"/>
        </w:rPr>
      </w:pPr>
    </w:p>
    <w:p w14:paraId="46372F92" w14:textId="77777777" w:rsidR="0000665C" w:rsidRPr="0000665C" w:rsidRDefault="0000665C" w:rsidP="0000665C">
      <w:pPr>
        <w:rPr>
          <w:lang w:val="en-US"/>
        </w:rPr>
      </w:pPr>
      <w:r w:rsidRPr="0000665C">
        <w:rPr>
          <w:lang w:val="en-US"/>
        </w:rPr>
        <w:t>Vaughn, T., “The Economic Crisis and Lessons from (and for) U.S.</w:t>
      </w:r>
    </w:p>
    <w:p w14:paraId="4E28CB08" w14:textId="77777777" w:rsidR="0000665C" w:rsidRPr="0000665C" w:rsidRDefault="0000665C" w:rsidP="0000665C">
      <w:pPr>
        <w:rPr>
          <w:lang w:val="en-US"/>
        </w:rPr>
      </w:pPr>
      <w:r w:rsidRPr="0000665C">
        <w:rPr>
          <w:lang w:val="en-US"/>
        </w:rPr>
        <w:t>Insurance Regulation,” Journal of Insurance Regulation, Fall 2009,</w:t>
      </w:r>
    </w:p>
    <w:p w14:paraId="1A0282D3" w14:textId="0E01C754" w:rsidR="0000665C" w:rsidRDefault="0000665C" w:rsidP="0000665C">
      <w:pPr>
        <w:rPr>
          <w:lang w:val="en-US"/>
        </w:rPr>
      </w:pPr>
      <w:proofErr w:type="gramStart"/>
      <w:r w:rsidRPr="0000665C">
        <w:rPr>
          <w:lang w:val="en-US"/>
        </w:rPr>
        <w:t>pp</w:t>
      </w:r>
      <w:proofErr w:type="gramEnd"/>
      <w:r w:rsidRPr="0000665C">
        <w:rPr>
          <w:lang w:val="en-US"/>
        </w:rPr>
        <w:t>. 3-16.</w:t>
      </w:r>
    </w:p>
    <w:p w14:paraId="03864CF4" w14:textId="77777777" w:rsidR="00F43854" w:rsidRDefault="00F43854" w:rsidP="0000665C">
      <w:pPr>
        <w:rPr>
          <w:lang w:val="en-US"/>
        </w:rPr>
      </w:pPr>
    </w:p>
    <w:p w14:paraId="5328AED6" w14:textId="67EAFF13" w:rsidR="0000665C" w:rsidRPr="00F43854" w:rsidRDefault="0000665C">
      <w:pPr>
        <w:rPr>
          <w:b/>
          <w:bCs/>
          <w:lang w:val="en-US"/>
        </w:rPr>
      </w:pPr>
      <w:r w:rsidRPr="00F43854">
        <w:rPr>
          <w:b/>
          <w:bCs/>
          <w:lang w:val="en-US"/>
        </w:rPr>
        <w:t>Spring 2021</w:t>
      </w:r>
    </w:p>
    <w:p w14:paraId="64A3E7C9" w14:textId="77777777" w:rsidR="0000665C" w:rsidRPr="0000665C" w:rsidRDefault="0000665C" w:rsidP="0000665C">
      <w:pPr>
        <w:rPr>
          <w:lang w:val="en-US"/>
        </w:rPr>
      </w:pPr>
      <w:r w:rsidRPr="0000665C">
        <w:rPr>
          <w:lang w:val="en-US"/>
        </w:rPr>
        <w:t>Cedar, D. and Thompson, A., “Reinsurance Accounting &amp; Strategy</w:t>
      </w:r>
    </w:p>
    <w:p w14:paraId="1FC85540" w14:textId="7EFFEAC0" w:rsidR="0000665C" w:rsidRDefault="0000665C" w:rsidP="0000665C">
      <w:pPr>
        <w:rPr>
          <w:lang w:val="en-US"/>
        </w:rPr>
      </w:pPr>
      <w:r w:rsidRPr="0000665C">
        <w:rPr>
          <w:lang w:val="en-US"/>
        </w:rPr>
        <w:t>for the Actuary,” CAS Study Note, January 2020.</w:t>
      </w:r>
    </w:p>
    <w:p w14:paraId="55F5059F" w14:textId="77777777" w:rsidR="00F43854" w:rsidRDefault="00F43854" w:rsidP="0000665C">
      <w:pPr>
        <w:rPr>
          <w:lang w:val="en-US"/>
        </w:rPr>
      </w:pPr>
    </w:p>
    <w:p w14:paraId="58D6D1B6" w14:textId="77777777" w:rsidR="00F43854" w:rsidRPr="00F43854" w:rsidRDefault="00F43854" w:rsidP="00F43854">
      <w:pPr>
        <w:rPr>
          <w:lang w:val="en-US"/>
        </w:rPr>
      </w:pPr>
      <w:r w:rsidRPr="00F43854">
        <w:rPr>
          <w:lang w:val="en-US"/>
        </w:rPr>
        <w:t>National Association of Insurance Commissioners, The Center for</w:t>
      </w:r>
    </w:p>
    <w:p w14:paraId="44380D2E" w14:textId="77777777" w:rsidR="00F43854" w:rsidRPr="00F43854" w:rsidRDefault="00F43854" w:rsidP="00F43854">
      <w:pPr>
        <w:rPr>
          <w:lang w:val="en-US"/>
        </w:rPr>
      </w:pPr>
      <w:r w:rsidRPr="00F43854">
        <w:rPr>
          <w:lang w:val="en-US"/>
        </w:rPr>
        <w:t>Insurance Policy and Research, Risk Retention Groups, updated</w:t>
      </w:r>
    </w:p>
    <w:p w14:paraId="093EC8B4" w14:textId="355E844A" w:rsidR="00F43854" w:rsidRDefault="00F43854" w:rsidP="00F43854">
      <w:pPr>
        <w:rPr>
          <w:lang w:val="en-US"/>
        </w:rPr>
      </w:pPr>
      <w:r w:rsidRPr="00F43854">
        <w:rPr>
          <w:lang w:val="en-US"/>
        </w:rPr>
        <w:t>May 31, 2019.</w:t>
      </w:r>
    </w:p>
    <w:p w14:paraId="492AD515" w14:textId="77777777" w:rsidR="00F43854" w:rsidRDefault="00F43854" w:rsidP="00F43854">
      <w:pPr>
        <w:rPr>
          <w:lang w:val="en-US"/>
        </w:rPr>
      </w:pPr>
    </w:p>
    <w:p w14:paraId="11A8429E" w14:textId="77777777" w:rsidR="00F43854" w:rsidRPr="00F43854" w:rsidRDefault="00F43854" w:rsidP="00F43854">
      <w:pPr>
        <w:rPr>
          <w:lang w:val="en-US"/>
        </w:rPr>
      </w:pPr>
      <w:r w:rsidRPr="00F43854">
        <w:rPr>
          <w:lang w:val="en-US"/>
        </w:rPr>
        <w:t>Webel, B., “Terrorism Risk Insurance: Overview and Issue</w:t>
      </w:r>
    </w:p>
    <w:p w14:paraId="7F106E5A" w14:textId="77777777" w:rsidR="00F43854" w:rsidRPr="00F43854" w:rsidRDefault="00F43854" w:rsidP="00F43854">
      <w:pPr>
        <w:rPr>
          <w:lang w:val="en-US"/>
        </w:rPr>
      </w:pPr>
      <w:r w:rsidRPr="00F43854">
        <w:rPr>
          <w:lang w:val="en-US"/>
        </w:rPr>
        <w:t>Analysis for the 116th Congress,” Congressional Research Service</w:t>
      </w:r>
    </w:p>
    <w:p w14:paraId="3466736C" w14:textId="77777777" w:rsidR="00F43854" w:rsidRPr="00F43854" w:rsidRDefault="00F43854" w:rsidP="00F43854">
      <w:pPr>
        <w:rPr>
          <w:lang w:val="en-US"/>
        </w:rPr>
      </w:pPr>
      <w:r w:rsidRPr="00F43854">
        <w:rPr>
          <w:lang w:val="en-US"/>
        </w:rPr>
        <w:t>R45707, Updated December 27, 2019, Summary page and pp. 1-</w:t>
      </w:r>
    </w:p>
    <w:p w14:paraId="2938D4FF" w14:textId="5966D278" w:rsidR="00F43854" w:rsidRDefault="00F43854" w:rsidP="00F43854">
      <w:pPr>
        <w:rPr>
          <w:lang w:val="en-US"/>
        </w:rPr>
      </w:pPr>
      <w:r w:rsidRPr="00F43854">
        <w:rPr>
          <w:lang w:val="en-US"/>
        </w:rPr>
        <w:t>10, stop at The Terrorism Insurance Market.</w:t>
      </w:r>
    </w:p>
    <w:p w14:paraId="4DAE40EB" w14:textId="77777777" w:rsidR="0000665C" w:rsidRDefault="0000665C">
      <w:pPr>
        <w:rPr>
          <w:lang w:val="en-US"/>
        </w:rPr>
      </w:pPr>
    </w:p>
    <w:p w14:paraId="4F8E33F3" w14:textId="65CC5D6F" w:rsidR="0000665C" w:rsidRPr="00F43854" w:rsidRDefault="0000665C">
      <w:pPr>
        <w:rPr>
          <w:b/>
          <w:bCs/>
          <w:lang w:val="en-US"/>
        </w:rPr>
      </w:pPr>
      <w:r w:rsidRPr="00F43854">
        <w:rPr>
          <w:b/>
          <w:bCs/>
          <w:lang w:val="en-US"/>
        </w:rPr>
        <w:lastRenderedPageBreak/>
        <w:t>Fall 2021</w:t>
      </w:r>
      <w:r w:rsidR="00F43854">
        <w:rPr>
          <w:b/>
          <w:bCs/>
          <w:lang w:val="en-US"/>
        </w:rPr>
        <w:t>/Spring 2022</w:t>
      </w:r>
    </w:p>
    <w:p w14:paraId="16095EEB" w14:textId="252B4660" w:rsidR="0000665C" w:rsidRDefault="0000665C">
      <w:pPr>
        <w:rPr>
          <w:lang w:val="en-US"/>
        </w:rPr>
      </w:pPr>
      <w:r w:rsidRPr="0000665C">
        <w:rPr>
          <w:lang w:val="en-US"/>
        </w:rPr>
        <w:t>Emmanual, J. N. and Lerner, Z. N., editors, “2020 Excess and Surplus Lines Laws in the United States,”</w:t>
      </w:r>
    </w:p>
    <w:p w14:paraId="58FD1B72" w14:textId="3A9EA51D" w:rsidR="00DB5469" w:rsidRPr="00F43854" w:rsidRDefault="007875E5">
      <w:pPr>
        <w:rPr>
          <w:b/>
          <w:bCs/>
          <w:lang w:val="en-US"/>
        </w:rPr>
      </w:pPr>
      <w:r w:rsidRPr="00F43854">
        <w:rPr>
          <w:b/>
          <w:bCs/>
          <w:lang w:val="en-US"/>
        </w:rPr>
        <w:t>Fall 2022/Spring 2023</w:t>
      </w:r>
    </w:p>
    <w:p w14:paraId="40F89699" w14:textId="193A0D8A" w:rsidR="007875E5" w:rsidRDefault="00F43854">
      <w:pPr>
        <w:rPr>
          <w:lang w:val="en-US"/>
        </w:rPr>
      </w:pPr>
      <w:r>
        <w:rPr>
          <w:lang w:val="en-US"/>
        </w:rPr>
        <w:t>NA</w:t>
      </w:r>
    </w:p>
    <w:p w14:paraId="47D5C8C0" w14:textId="00E67F4C" w:rsidR="0000665C" w:rsidRPr="00F43854" w:rsidRDefault="0000665C">
      <w:pPr>
        <w:rPr>
          <w:b/>
          <w:bCs/>
          <w:lang w:val="en-US"/>
        </w:rPr>
      </w:pPr>
      <w:r w:rsidRPr="00F43854">
        <w:rPr>
          <w:b/>
          <w:bCs/>
          <w:lang w:val="en-US"/>
        </w:rPr>
        <w:t>Fall 2023</w:t>
      </w:r>
      <w:r w:rsidR="00DB5469" w:rsidRPr="00F43854">
        <w:rPr>
          <w:b/>
          <w:bCs/>
          <w:lang w:val="en-US"/>
        </w:rPr>
        <w:t xml:space="preserve">/Spring 2024 </w:t>
      </w:r>
    </w:p>
    <w:p w14:paraId="5A763F51" w14:textId="77777777" w:rsidR="0000665C" w:rsidRPr="0000665C" w:rsidRDefault="0000665C" w:rsidP="0000665C">
      <w:pPr>
        <w:rPr>
          <w:lang w:val="en-US"/>
        </w:rPr>
      </w:pPr>
      <w:r w:rsidRPr="0000665C">
        <w:rPr>
          <w:lang w:val="en-US"/>
        </w:rPr>
        <w:t xml:space="preserve">American Academy of Actuaries, “Estimating the Uncollectible Reinsurance Reserve for Property/Casualty Companies New GAAP Requirements,” July 2019, </w:t>
      </w:r>
      <w:proofErr w:type="spellStart"/>
      <w:r w:rsidRPr="0000665C">
        <w:rPr>
          <w:lang w:val="en-US"/>
        </w:rPr>
        <w:t>pg</w:t>
      </w:r>
      <w:proofErr w:type="spellEnd"/>
      <w:r w:rsidRPr="0000665C">
        <w:rPr>
          <w:lang w:val="en-US"/>
        </w:rPr>
        <w:t xml:space="preserve"> 4-15</w:t>
      </w:r>
    </w:p>
    <w:p w14:paraId="0567E55D" w14:textId="77777777" w:rsidR="0000665C" w:rsidRPr="0000665C" w:rsidRDefault="0000665C" w:rsidP="0000665C">
      <w:pPr>
        <w:rPr>
          <w:lang w:val="en-US"/>
        </w:rPr>
      </w:pPr>
      <w:r w:rsidRPr="0000665C">
        <w:rPr>
          <w:lang w:val="en-US"/>
        </w:rPr>
        <w:t xml:space="preserve">American Academy of Actuaries, “Retained Property Casualty Insurance-Related Risk: Interaction of Actuarial Analysis and Accounting”, April 2018, </w:t>
      </w:r>
      <w:proofErr w:type="spellStart"/>
      <w:r w:rsidRPr="0000665C">
        <w:rPr>
          <w:lang w:val="en-US"/>
        </w:rPr>
        <w:t>ch</w:t>
      </w:r>
      <w:proofErr w:type="spellEnd"/>
      <w:r w:rsidRPr="0000665C">
        <w:rPr>
          <w:lang w:val="en-US"/>
        </w:rPr>
        <w:t xml:space="preserve"> 1 &amp; 4</w:t>
      </w:r>
    </w:p>
    <w:p w14:paraId="1F83A5B5" w14:textId="0393FBDA" w:rsidR="007875E5" w:rsidRDefault="007875E5" w:rsidP="0000665C">
      <w:pPr>
        <w:rPr>
          <w:lang w:val="en-US"/>
        </w:rPr>
      </w:pPr>
      <w:r w:rsidRPr="007875E5">
        <w:rPr>
          <w:lang w:val="en-US"/>
        </w:rPr>
        <w:t>Brandt, E.A. and Maxwell, L.A., “Risk of Material Adverse Deviation Study Note,” April 2023.</w:t>
      </w:r>
    </w:p>
    <w:p w14:paraId="7DD6D994" w14:textId="300DE129" w:rsidR="0000665C" w:rsidRPr="0000665C" w:rsidRDefault="0000665C" w:rsidP="0000665C">
      <w:pPr>
        <w:rPr>
          <w:lang w:val="en-US"/>
        </w:rPr>
      </w:pPr>
      <w:r w:rsidRPr="0000665C">
        <w:rPr>
          <w:lang w:val="en-US"/>
        </w:rPr>
        <w:t>Casualty Actuarial and Statistical (c) Task Force, Regulatory Review of Predictive Models White Paper, December 2020, Sections I, IV &amp; VII</w:t>
      </w:r>
    </w:p>
    <w:p w14:paraId="3665F6D5" w14:textId="77777777" w:rsidR="0000665C" w:rsidRPr="0000665C" w:rsidRDefault="0000665C" w:rsidP="0000665C">
      <w:pPr>
        <w:rPr>
          <w:lang w:val="en-US"/>
        </w:rPr>
      </w:pPr>
      <w:r w:rsidRPr="0000665C">
        <w:rPr>
          <w:lang w:val="en-US"/>
        </w:rPr>
        <w:t>Federal Insurance Office, Annual Report on the Insurance Industry Completed Pursuant to Title V of the Dodd-Frank Wall Street Reform and Consumer Protection Act, September 2022, Sections I, IA and I-B1</w:t>
      </w:r>
    </w:p>
    <w:p w14:paraId="582E9146" w14:textId="262B445C" w:rsidR="0000665C" w:rsidRPr="00F43854" w:rsidRDefault="0000665C" w:rsidP="0000665C">
      <w:pPr>
        <w:rPr>
          <w:b/>
          <w:bCs/>
          <w:lang w:val="en-US"/>
        </w:rPr>
      </w:pPr>
      <w:r w:rsidRPr="00F43854">
        <w:rPr>
          <w:b/>
          <w:bCs/>
          <w:lang w:val="en-US"/>
        </w:rPr>
        <w:t>Fall 2024</w:t>
      </w:r>
      <w:r w:rsidR="00DB5469" w:rsidRPr="00F43854">
        <w:rPr>
          <w:b/>
          <w:bCs/>
          <w:lang w:val="en-US"/>
        </w:rPr>
        <w:t>/Spring 2025</w:t>
      </w:r>
    </w:p>
    <w:p w14:paraId="1D9FDEC1" w14:textId="0CD708B6" w:rsidR="0000665C" w:rsidRPr="0000665C" w:rsidRDefault="0000665C" w:rsidP="0000665C">
      <w:pPr>
        <w:rPr>
          <w:lang w:val="en-US"/>
        </w:rPr>
      </w:pPr>
      <w:r w:rsidRPr="0000665C">
        <w:rPr>
          <w:lang w:val="en-US"/>
        </w:rPr>
        <w:t>Cole and Marzen - Nuclear Verdicts, Tort Liability, and Legislative Responses</w:t>
      </w:r>
    </w:p>
    <w:p w14:paraId="37E3BC5F" w14:textId="3075E378" w:rsidR="0000665C" w:rsidRDefault="0000665C" w:rsidP="0000665C">
      <w:pPr>
        <w:rPr>
          <w:lang w:val="en-US"/>
        </w:rPr>
      </w:pPr>
      <w:r w:rsidRPr="0000665C">
        <w:rPr>
          <w:lang w:val="en-US"/>
        </w:rPr>
        <w:t>Florida Hurricane Catastrophe Fund</w:t>
      </w:r>
    </w:p>
    <w:sectPr w:rsidR="0000665C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665C"/>
    <w:rsid w:val="0000665C"/>
    <w:rsid w:val="007875E5"/>
    <w:rsid w:val="00CB0406"/>
    <w:rsid w:val="00DB5469"/>
    <w:rsid w:val="00F43854"/>
    <w:rsid w:val="00FA0E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1D4BAA"/>
  <w15:chartTrackingRefBased/>
  <w15:docId w15:val="{D326C923-03E2-4BE1-9567-EFB683CB78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C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0665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0665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0665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0665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0665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0665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0665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0665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0665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0665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0665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0665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0665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0665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0665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0665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0665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0665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0665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0665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0665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0665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0665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0665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0665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0665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0665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0665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0665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159</TotalTime>
  <Pages>2</Pages>
  <Words>304</Words>
  <Characters>1736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Eva Taylor</dc:creator>
  <cp:keywords/>
  <dc:description/>
  <cp:lastModifiedBy>Eva Taylor</cp:lastModifiedBy>
  <cp:revision>1</cp:revision>
  <dcterms:created xsi:type="dcterms:W3CDTF">2025-03-18T20:50:00Z</dcterms:created>
  <dcterms:modified xsi:type="dcterms:W3CDTF">2025-03-18T23:33:00Z</dcterms:modified>
</cp:coreProperties>
</file>